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24" w:rsidRDefault="006D7024" w:rsidP="006D7024">
      <w:pPr>
        <w:spacing w:line="560" w:lineRule="exact"/>
        <w:jc w:val="left"/>
        <w:rPr>
          <w:rFonts w:ascii="黑体" w:eastAsia="黑体" w:hAnsi="黑体" w:cs="黑体"/>
          <w:color w:val="000000"/>
        </w:rPr>
      </w:pPr>
      <w:r>
        <w:rPr>
          <w:rFonts w:ascii="黑体" w:eastAsia="黑体" w:hAnsi="黑体" w:cs="黑体" w:hint="eastAsia"/>
          <w:color w:val="000000"/>
        </w:rPr>
        <w:t>附件</w:t>
      </w:r>
    </w:p>
    <w:p w:rsidR="006D7024" w:rsidRDefault="006D7024" w:rsidP="006D7024">
      <w:pPr>
        <w:pStyle w:val="a0"/>
        <w:spacing w:line="240" w:lineRule="exact"/>
      </w:pPr>
    </w:p>
    <w:p w:rsidR="006D7024" w:rsidRDefault="006D7024" w:rsidP="006D7024">
      <w:pPr>
        <w:spacing w:line="560" w:lineRule="exact"/>
        <w:jc w:val="center"/>
        <w:rPr>
          <w:rFonts w:ascii="方正小标宋简体" w:eastAsia="方正小标宋简体" w:hAnsi="方正小标宋简体" w:cs="方正小标宋简体"/>
          <w:bCs/>
          <w:color w:val="000000"/>
          <w:kern w:val="0"/>
          <w:sz w:val="44"/>
          <w:szCs w:val="44"/>
          <w:lang w:bidi="ar"/>
        </w:rPr>
      </w:pPr>
      <w:r>
        <w:rPr>
          <w:rFonts w:ascii="方正小标宋简体" w:eastAsia="方正小标宋简体" w:hAnsi="方正小标宋简体" w:cs="方正小标宋简体" w:hint="eastAsia"/>
          <w:bCs/>
          <w:color w:val="000000"/>
          <w:kern w:val="0"/>
          <w:sz w:val="44"/>
          <w:szCs w:val="44"/>
          <w:lang w:bidi="ar"/>
        </w:rPr>
        <w:t>2021年度省级挂牌督办安全生产重大事故隐患明细表</w:t>
      </w:r>
    </w:p>
    <w:p w:rsidR="006D7024" w:rsidRDefault="006D7024" w:rsidP="006D7024">
      <w:pPr>
        <w:pStyle w:val="a0"/>
        <w:spacing w:line="240" w:lineRule="exact"/>
      </w:pPr>
    </w:p>
    <w:tbl>
      <w:tblPr>
        <w:tblW w:w="14236" w:type="dxa"/>
        <w:jc w:val="center"/>
        <w:tblLayout w:type="fixed"/>
        <w:tblCellMar>
          <w:top w:w="15" w:type="dxa"/>
          <w:left w:w="15" w:type="dxa"/>
          <w:bottom w:w="15" w:type="dxa"/>
          <w:right w:w="15" w:type="dxa"/>
        </w:tblCellMar>
        <w:tblLook w:val="04A0" w:firstRow="1" w:lastRow="0" w:firstColumn="1" w:lastColumn="0" w:noHBand="0" w:noVBand="1"/>
      </w:tblPr>
      <w:tblGrid>
        <w:gridCol w:w="453"/>
        <w:gridCol w:w="2602"/>
        <w:gridCol w:w="812"/>
        <w:gridCol w:w="3849"/>
        <w:gridCol w:w="1978"/>
        <w:gridCol w:w="1038"/>
        <w:gridCol w:w="1759"/>
        <w:gridCol w:w="1200"/>
        <w:gridCol w:w="545"/>
      </w:tblGrid>
      <w:tr w:rsidR="006D7024" w:rsidTr="000B6433">
        <w:trPr>
          <w:trHeight w:val="455"/>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序号</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隐患名称</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行业</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分类</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隐患基本情况</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治理责任单位</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属地监管</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责任单位</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行业督</w:t>
            </w:r>
          </w:p>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办单位</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整改时限</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备注</w:t>
            </w:r>
          </w:p>
        </w:tc>
      </w:tr>
      <w:tr w:rsidR="006D7024" w:rsidTr="000B6433">
        <w:trPr>
          <w:trHeight w:val="2037"/>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西安伊利泰普克饮品有限公司安全隐患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1.隐患排查治理制度内容不全、压力容器专项预案中未核实液氨储罐相关内容；2.柴油储罐与锅炉房安全间距不符合防火间距要求；柴油卸油口静电夹失灵；3.水塔处缺少有限空间安全警示标识。</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西安伊利泰普</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克饮品有限公司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73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西安市经济技术开发区星悦荟餐饮聚会服务餐厅消防安全隐患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商贸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1.人员密集场所防火门损坏率大于其设置的20%；2.疏散走道装修材料的燃烧性能不符合GB50222的规定；3.自动喷水灭火系统不能正常运行；4.防排烟系统不能正常联动控制。</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西安市经济技术开发区星悦荟餐饮聚会服务餐厅</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省消防救援总队省商务厅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95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西安市蓝田县聚善堂老年公寓消防安全隐患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社会</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服务</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1.住宿楼未按规定设置火灾自动报警系统；2.住宿楼未按规定设置自动喷水灭火系统；3.北侧平房房顶使用易燃、可燃材料装修、装饰；4.消防控制室人员未按GB25506的规定持证上岗。</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西安市蓝田县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聚善堂老年公寓</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省民政厅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8月31日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54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楼观印象酒店消防安全隐患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商贸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1.未按要求设置防火分区；防火卷帘损坏；2.消防控制室持证上岗人员数量不足；3.火灾自动报警系统不能正常运行；自动消防设施不能正常联动。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楼观印象酒店</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省消防救援总队省商务厅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21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庞家河硐子沟尾矿库排洪涵洞结构存在缺陷安全隐患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非煤</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库区排洪涵洞拱盖板严重裂缝，个别损坏、部分倾斜、部分只有1/3盖在墙上、个别拱盖板之间间距过大。</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陕西庞家河金矿</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宝鸡市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22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6</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themeColor="text1"/>
                <w:sz w:val="24"/>
                <w:szCs w:val="24"/>
              </w:rPr>
            </w:pPr>
            <w:r>
              <w:rPr>
                <w:rFonts w:ascii="仿宋" w:hAnsi="仿宋" w:cs="仿宋" w:hint="eastAsia"/>
                <w:color w:val="000000" w:themeColor="text1"/>
                <w:sz w:val="24"/>
                <w:szCs w:val="24"/>
              </w:rPr>
              <w:t>扶风县西观山急弯陡坡安全隐患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道路</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themeColor="text1"/>
                <w:sz w:val="24"/>
                <w:szCs w:val="24"/>
              </w:rPr>
            </w:pPr>
            <w:r>
              <w:rPr>
                <w:rFonts w:ascii="仿宋" w:hAnsi="仿宋" w:cs="仿宋" w:hint="eastAsia"/>
                <w:color w:val="000000" w:themeColor="text1"/>
                <w:sz w:val="24"/>
                <w:szCs w:val="24"/>
              </w:rPr>
              <w:t>西观山SG-2标段路段，全长4500米，急弯陡坡较多，存在严重道路安全隐患。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扶风县地方</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道路管理站</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宝鸡市</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2021年</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8月31日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792"/>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扶风县胜利厂职工医院火灾安全隐患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医疗</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卫生</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人员密集居住场所部分部位存在采用彩钢夹芯板搭建。</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扶风县胜利</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厂职工医院</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宝鸡市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省卫建委</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7月31日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9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8</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西安万德能源化工兴平分公司控制室不满足国家标准关于防火防爆的要求安全隐患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危险化学品</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硝化控制室紧邻硝化车间间距不够。</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西安万德能源</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化工兴平分公司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咸阳市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7月31日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89"/>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9</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耀州区城南壹号小区消防安全隐患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建筑</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1.消防控制室值班操作人员未持证上岗；2.火灾自动报警系统未保持完好有效；3.室内消火栓未保持完好有效；4.自动喷水灭火系统未保持完好有效。</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陕西旺庭物业管</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理有限责任公司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省住建厅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51"/>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10</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铜川职业技术学院消防安全隐患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教育</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1.该场所建筑设置的疏散指示标志、应急照明损坏率超过50%；2.室内消火栓系统设置不符合标准规定；3.火灾自动报警系统处于故障状态；4.自动消防设施不能正常联动。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FF0000"/>
                <w:sz w:val="24"/>
                <w:szCs w:val="24"/>
              </w:rPr>
            </w:pPr>
            <w:r>
              <w:rPr>
                <w:rFonts w:ascii="仿宋" w:hAnsi="仿宋" w:cs="仿宋" w:hint="eastAsia"/>
                <w:color w:val="000000"/>
                <w:sz w:val="24"/>
                <w:szCs w:val="24"/>
              </w:rPr>
              <w:t>铜川职业技术学院</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省教育厅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9月1日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32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铜川华原新绿实业有限责任公司安全隐患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1.在用的蒸压釜、起重机械、燃气锅炉、叉车、压力管道未定期检验；2.未办理注册登记；3.未配备持有特种设备作业人员资格证的作业人员。</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铜川华原新绿实</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业有限责任公司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铜川市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省市场监督管</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理局</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91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蒲城县五陵路与畏漫路十字道路交通安全隐患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道路</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无闪爆灯、警示桩、减速带、提示牌、红绿灯等装置。</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rPr>
                <w:rFonts w:ascii="仿宋" w:eastAsia="仿宋" w:hAnsi="仿宋" w:cs="仿宋"/>
                <w:sz w:val="24"/>
                <w:szCs w:val="24"/>
              </w:rPr>
            </w:pPr>
            <w:r>
              <w:rPr>
                <w:rFonts w:ascii="仿宋" w:eastAsia="仿宋" w:hAnsi="仿宋" w:cs="仿宋" w:hint="eastAsia"/>
                <w:sz w:val="24"/>
                <w:szCs w:val="24"/>
              </w:rPr>
              <w:t>蒲城县交通运输局、蒲城县公安交警大队</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省公安厅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2021年</w:t>
            </w:r>
          </w:p>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6月30日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06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陕西粮农富平西瑞面粉有限公司安全隐患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1.电工、焊工特种作业操作证未定期复审；2.制粉车间二层中控室大门为非防爆门。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陕西粮农富平西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瑞面粉有限公司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68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白水县鸿森煤业有限责任公司安全隐患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1.2507运输巷掘进工作面、回风流中安装有甲烷传感器，但数据没有上传至监控中心站，不能实现甲烷电闭锁功能；2.矿井受奥灰水威胁，2507运输巷掘进工作面未进行探放水。</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白水县鸿森煤</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业有限责任公司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陕西煤监局</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9月30日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00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燎原煤矿防突措施不落实安全隐患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11#煤层两个“四位一体”综合防突措施执行不到位；通风系统不完善、不可靠；防突机构不健全。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燎原煤矿</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渭南市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陕西煤监局</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省能源局</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622"/>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16</w:t>
            </w:r>
          </w:p>
        </w:tc>
        <w:tc>
          <w:tcPr>
            <w:tcW w:w="2602" w:type="dxa"/>
            <w:tcBorders>
              <w:top w:val="single" w:sz="4" w:space="0" w:color="000000"/>
              <w:left w:val="single" w:sz="4" w:space="0" w:color="000000"/>
              <w:bottom w:val="single" w:sz="4" w:space="0" w:color="000000"/>
              <w:right w:val="single" w:sz="4" w:space="0" w:color="000000"/>
            </w:tcBorders>
          </w:tcPr>
          <w:p w:rsidR="006D7024" w:rsidRDefault="006D7024" w:rsidP="000B6433">
            <w:pPr>
              <w:spacing w:line="0" w:lineRule="atLeast"/>
              <w:rPr>
                <w:rFonts w:ascii="仿宋" w:hAnsi="仿宋" w:cs="仿宋"/>
                <w:color w:val="FF0000"/>
                <w:sz w:val="24"/>
                <w:szCs w:val="24"/>
                <w:u w:val="single"/>
              </w:rPr>
            </w:pPr>
            <w:r>
              <w:rPr>
                <w:rFonts w:ascii="仿宋" w:hAnsi="仿宋" w:cs="仿宋" w:hint="eastAsia"/>
                <w:color w:val="000000"/>
                <w:sz w:val="24"/>
                <w:szCs w:val="24"/>
              </w:rPr>
              <w:t>华山五云峰饭店员工宿舍火灾安全隐患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文化</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旅游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u w:val="single"/>
              </w:rPr>
            </w:pPr>
            <w:r>
              <w:rPr>
                <w:rFonts w:ascii="仿宋" w:hAnsi="仿宋" w:cs="仿宋" w:hint="eastAsia"/>
                <w:color w:val="000000"/>
                <w:sz w:val="24"/>
                <w:szCs w:val="24"/>
              </w:rPr>
              <w:t>均为彩钢房结构，存在火灾隐患。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陕西华山旅游</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集团有限公司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pStyle w:val="a0"/>
              <w:spacing w:after="0" w:line="0" w:lineRule="atLeast"/>
              <w:jc w:val="center"/>
              <w:rPr>
                <w:rFonts w:ascii="仿宋" w:eastAsia="仿宋" w:hAnsi="仿宋" w:cs="仿宋"/>
                <w:sz w:val="24"/>
                <w:szCs w:val="24"/>
              </w:rPr>
            </w:pPr>
            <w:r>
              <w:rPr>
                <w:rFonts w:ascii="仿宋" w:eastAsia="仿宋" w:hAnsi="仿宋" w:cs="仿宋" w:hint="eastAsia"/>
                <w:sz w:val="24"/>
                <w:szCs w:val="24"/>
              </w:rPr>
              <w:t>渭南市</w:t>
            </w:r>
          </w:p>
          <w:p w:rsidR="006D7024" w:rsidRDefault="006D7024" w:rsidP="000B6433">
            <w:pPr>
              <w:pStyle w:val="a0"/>
              <w:spacing w:after="0" w:line="0" w:lineRule="atLeast"/>
              <w:jc w:val="center"/>
              <w:rPr>
                <w:rFonts w:ascii="仿宋" w:eastAsia="仿宋" w:hAnsi="仿宋" w:cs="仿宋"/>
                <w:color w:val="FF0000"/>
                <w:sz w:val="24"/>
                <w:szCs w:val="24"/>
                <w:u w:val="single"/>
              </w:rPr>
            </w:pPr>
            <w:r>
              <w:rPr>
                <w:rFonts w:ascii="仿宋" w:eastAsia="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省文旅厅</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FF0000"/>
                <w:sz w:val="24"/>
                <w:szCs w:val="24"/>
                <w:u w:val="single"/>
              </w:rPr>
            </w:pPr>
            <w:r>
              <w:rPr>
                <w:rFonts w:ascii="仿宋" w:hAnsi="仿宋" w:cs="仿宋" w:hint="eastAsia"/>
                <w:color w:val="000000"/>
                <w:sz w:val="24"/>
                <w:szCs w:val="24"/>
              </w:rPr>
              <w:t>11月30日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427"/>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17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吴起中央红军长征胜利纪念园重大火灾隐患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消防</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室内消防栓内无水。</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吴起中央红军</w:t>
            </w:r>
          </w:p>
          <w:p w:rsidR="006D7024" w:rsidRDefault="006D7024" w:rsidP="000B6433">
            <w:pPr>
              <w:jc w:val="center"/>
              <w:rPr>
                <w:rFonts w:ascii="仿宋" w:hAnsi="仿宋" w:cs="仿宋"/>
                <w:color w:val="000000" w:themeColor="text1"/>
                <w:sz w:val="24"/>
                <w:szCs w:val="24"/>
              </w:rPr>
            </w:pPr>
            <w:r>
              <w:rPr>
                <w:rFonts w:ascii="仿宋_GB2312" w:eastAsia="仿宋_GB2312" w:hAnsi="仿宋_GB2312" w:cs="仿宋_GB2312" w:hint="eastAsia"/>
                <w:sz w:val="24"/>
                <w:szCs w:val="24"/>
              </w:rPr>
              <w:t>长征胜利纪念园</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延安市</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省消防救援总队</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2021年</w:t>
            </w:r>
          </w:p>
          <w:p w:rsidR="006D7024" w:rsidRDefault="006D7024" w:rsidP="000B6433">
            <w:pPr>
              <w:spacing w:line="0" w:lineRule="atLeast"/>
              <w:jc w:val="center"/>
              <w:rPr>
                <w:rFonts w:ascii="仿宋" w:hAnsi="仿宋" w:cs="仿宋"/>
                <w:color w:val="000000" w:themeColor="text1"/>
                <w:sz w:val="24"/>
                <w:szCs w:val="24"/>
              </w:rPr>
            </w:pPr>
            <w:r>
              <w:rPr>
                <w:rFonts w:ascii="仿宋" w:hAnsi="仿宋" w:cs="仿宋" w:hint="eastAsia"/>
                <w:color w:val="000000" w:themeColor="text1"/>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164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18</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S204K53+360沙峁沟桥（神木市）安全隐患隐患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T梁两侧翼板混凝土剥落、掉角，多处钢筋外露锈蚀，支座老化开裂、局部破损情况严重，桥面铺装出现横向贯通裂缝，缝宽超限，局部有破损坑槽。</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榆林市公路局</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83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19</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榆林东元精细化工有限公司安全隐患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危险化学品</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中控室操作人员未取得加氢工艺操作、烷基化工艺操作证。</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榆林东元精细</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化工有限公司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auto"/>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1140"/>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20</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榆林市横山区兴维煤炭有限公司使用非防爆无轨胶轮车安全隐患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煤矿</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井下使用非防爆无轨胶轮车。</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榆林市横山区</w:t>
            </w:r>
          </w:p>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兴维煤炭有限公司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榆林市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10月31日</w:t>
            </w:r>
          </w:p>
        </w:tc>
        <w:tc>
          <w:tcPr>
            <w:tcW w:w="545" w:type="dxa"/>
            <w:tcBorders>
              <w:top w:val="single" w:sz="4" w:space="0" w:color="auto"/>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135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21</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白河县冷水镇新义村316国道K1745+520至590处电站储水临江路段安全隐患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安全警示标志不足，安全防护设施缺乏。</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白河县公路段</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安康市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8月30日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FF0000"/>
                <w:sz w:val="24"/>
                <w:szCs w:val="24"/>
              </w:rPr>
            </w:pPr>
          </w:p>
        </w:tc>
      </w:tr>
      <w:tr w:rsidR="006D7024" w:rsidTr="000B6433">
        <w:trPr>
          <w:trHeight w:val="75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22</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旬阳高速公路引线冬青隧道外安全隐患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sz w:val="24"/>
                <w:szCs w:val="24"/>
              </w:rPr>
            </w:pPr>
            <w:r>
              <w:rPr>
                <w:rFonts w:ascii="仿宋" w:hAnsi="仿宋" w:cs="仿宋" w:hint="eastAsia"/>
                <w:sz w:val="24"/>
                <w:szCs w:val="24"/>
              </w:rPr>
              <w:t>隧道外道路两侧被商贩占用。</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旬阳县交通局</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安康市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9月30日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FF0000"/>
                <w:sz w:val="24"/>
                <w:szCs w:val="24"/>
              </w:rPr>
            </w:pPr>
          </w:p>
        </w:tc>
      </w:tr>
      <w:tr w:rsidR="006D7024" w:rsidTr="000B6433">
        <w:trPr>
          <w:trHeight w:val="409"/>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23</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旬阳县甘溪镇施家坡村级公路0km至2km安全隐患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道路</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临崖、急弯陡坡路段，路外无安全防护设施。</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旬阳县</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安康市</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2021年</w:t>
            </w:r>
          </w:p>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10月31日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403"/>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lastRenderedPageBreak/>
              <w:t>24</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南郑区宏竹矿业有限公司安家山尾矿库安全隐患。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非煤</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南郑区宏竹矿业有限公司安家山尾矿库存在“初期坝鼓包、拱板破裂、尾矿库排洪系统不符合设计且排洪能力不足”等安全隐患。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南郑区宏竹</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矿业有限公司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汉中市</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p>
        </w:tc>
      </w:tr>
      <w:tr w:rsidR="006D7024" w:rsidTr="000B6433">
        <w:trPr>
          <w:trHeight w:val="804"/>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25</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陕西汉中钢铁集团有限公司安全隐患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工贸</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color w:val="000000"/>
                <w:sz w:val="24"/>
                <w:szCs w:val="24"/>
              </w:rPr>
            </w:pPr>
            <w:r>
              <w:rPr>
                <w:rFonts w:ascii="仿宋" w:hAnsi="仿宋" w:cs="仿宋" w:hint="eastAsia"/>
                <w:color w:val="000000"/>
                <w:sz w:val="24"/>
                <w:szCs w:val="24"/>
              </w:rPr>
              <w:t>控制室贴邻涉粉生产车间，安全间距不足。</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陕西汉中钢</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sz w:val="24"/>
                <w:szCs w:val="24"/>
              </w:rPr>
              <w:t>铁集团有限公司</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汉中市</w:t>
            </w:r>
          </w:p>
          <w:p w:rsidR="006D7024" w:rsidRDefault="006D7024" w:rsidP="000B6433">
            <w:pPr>
              <w:spacing w:line="0" w:lineRule="atLeast"/>
              <w:jc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12月31日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26</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商州区307省道鸡冠岭153km--157km+600m处道路交通安全隐患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道路</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交通</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307省道鸡冠岭段，长约4km为连续急弯陡坡，存在严重道路交通安全隐患。</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商洛市公路局商</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州区公路管理段</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省交通厅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6月30日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1726"/>
          <w:jc w:val="center"/>
        </w:trPr>
        <w:tc>
          <w:tcPr>
            <w:tcW w:w="453"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textAlignment w:val="center"/>
              <w:rPr>
                <w:rFonts w:ascii="仿宋" w:hAnsi="仿宋" w:cs="仿宋"/>
                <w:color w:val="000000"/>
                <w:kern w:val="0"/>
                <w:sz w:val="24"/>
                <w:szCs w:val="24"/>
                <w:lang w:bidi="ar"/>
              </w:rPr>
            </w:pPr>
            <w:r>
              <w:rPr>
                <w:rFonts w:ascii="仿宋" w:hAnsi="仿宋" w:cs="仿宋" w:hint="eastAsia"/>
                <w:color w:val="000000"/>
                <w:kern w:val="0"/>
                <w:sz w:val="24"/>
                <w:szCs w:val="24"/>
                <w:lang w:bidi="ar"/>
              </w:rPr>
              <w:t>27</w:t>
            </w:r>
          </w:p>
        </w:tc>
        <w:tc>
          <w:tcPr>
            <w:tcW w:w="260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color w:val="000000"/>
                <w:sz w:val="24"/>
                <w:szCs w:val="24"/>
              </w:rPr>
              <w:t>洛南县小刺沟尾矿库灾后安全隐患</w:t>
            </w:r>
          </w:p>
        </w:tc>
        <w:tc>
          <w:tcPr>
            <w:tcW w:w="812"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非煤</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矿山</w:t>
            </w:r>
          </w:p>
        </w:tc>
        <w:tc>
          <w:tcPr>
            <w:tcW w:w="384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left"/>
              <w:rPr>
                <w:rFonts w:ascii="仿宋" w:hAnsi="仿宋" w:cs="仿宋"/>
                <w:sz w:val="24"/>
                <w:szCs w:val="24"/>
              </w:rPr>
            </w:pPr>
            <w:r>
              <w:rPr>
                <w:rFonts w:ascii="仿宋" w:hAnsi="仿宋" w:cs="仿宋" w:hint="eastAsia"/>
                <w:sz w:val="24"/>
                <w:szCs w:val="24"/>
              </w:rPr>
              <w:t>洛南县“8˙6”洪灾超尾矿库设计防洪能力，致小刺沟尾矿库初期坝左侧坝体垮塌，下游坝坡左、右岸下部排洪明渠倒塌，初期坝顶以上堆积坝坡形成了冲沟。</w:t>
            </w:r>
          </w:p>
        </w:tc>
        <w:tc>
          <w:tcPr>
            <w:tcW w:w="197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洛南县人民政府</w:t>
            </w:r>
          </w:p>
        </w:tc>
        <w:tc>
          <w:tcPr>
            <w:tcW w:w="1038"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商洛市</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人民政府</w:t>
            </w:r>
          </w:p>
        </w:tc>
        <w:tc>
          <w:tcPr>
            <w:tcW w:w="1759"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r>
              <w:rPr>
                <w:rFonts w:ascii="仿宋" w:hAnsi="仿宋" w:cs="仿宋" w:hint="eastAsia"/>
                <w:color w:val="000000"/>
                <w:sz w:val="24"/>
                <w:szCs w:val="24"/>
              </w:rPr>
              <w:t>省应急</w:t>
            </w:r>
            <w:r w:rsidR="003B5962">
              <w:rPr>
                <w:rFonts w:ascii="仿宋" w:hAnsi="仿宋" w:cs="仿宋" w:hint="eastAsia"/>
                <w:color w:val="000000"/>
                <w:sz w:val="24"/>
                <w:szCs w:val="24"/>
              </w:rPr>
              <w:t>管理</w:t>
            </w:r>
            <w:bookmarkStart w:id="0" w:name="_GoBack"/>
            <w:bookmarkEnd w:id="0"/>
            <w:r>
              <w:rPr>
                <w:rFonts w:ascii="仿宋" w:hAnsi="仿宋" w:cs="仿宋" w:hint="eastAsia"/>
                <w:color w:val="000000"/>
                <w:sz w:val="24"/>
                <w:szCs w:val="24"/>
              </w:rPr>
              <w:t>厅</w:t>
            </w:r>
          </w:p>
        </w:tc>
        <w:tc>
          <w:tcPr>
            <w:tcW w:w="1200"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2021年</w:t>
            </w:r>
          </w:p>
          <w:p w:rsidR="006D7024" w:rsidRDefault="006D7024" w:rsidP="000B6433">
            <w:pPr>
              <w:spacing w:line="0" w:lineRule="atLeast"/>
              <w:jc w:val="center"/>
              <w:rPr>
                <w:rFonts w:ascii="仿宋" w:hAnsi="仿宋" w:cs="仿宋"/>
                <w:sz w:val="24"/>
                <w:szCs w:val="24"/>
              </w:rPr>
            </w:pPr>
            <w:r>
              <w:rPr>
                <w:rFonts w:ascii="仿宋" w:hAnsi="仿宋" w:cs="仿宋" w:hint="eastAsia"/>
                <w:sz w:val="24"/>
                <w:szCs w:val="24"/>
              </w:rPr>
              <w:t>5月31日</w:t>
            </w:r>
          </w:p>
        </w:tc>
        <w:tc>
          <w:tcPr>
            <w:tcW w:w="545" w:type="dxa"/>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jc w:val="center"/>
              <w:rPr>
                <w:rFonts w:ascii="仿宋" w:hAnsi="仿宋" w:cs="仿宋"/>
                <w:color w:val="000000"/>
                <w:sz w:val="24"/>
                <w:szCs w:val="24"/>
              </w:rPr>
            </w:pPr>
          </w:p>
        </w:tc>
      </w:tr>
      <w:tr w:rsidR="006D7024" w:rsidTr="000B6433">
        <w:trPr>
          <w:trHeight w:val="559"/>
          <w:jc w:val="center"/>
        </w:trPr>
        <w:tc>
          <w:tcPr>
            <w:tcW w:w="14236" w:type="dxa"/>
            <w:gridSpan w:val="9"/>
            <w:tcBorders>
              <w:top w:val="single" w:sz="4" w:space="0" w:color="000000"/>
              <w:left w:val="single" w:sz="4" w:space="0" w:color="000000"/>
              <w:bottom w:val="single" w:sz="4" w:space="0" w:color="000000"/>
              <w:right w:val="single" w:sz="4" w:space="0" w:color="000000"/>
            </w:tcBorders>
            <w:vAlign w:val="center"/>
          </w:tcPr>
          <w:p w:rsidR="006D7024" w:rsidRDefault="006D7024" w:rsidP="000B6433">
            <w:pPr>
              <w:spacing w:line="0" w:lineRule="atLeast"/>
              <w:rPr>
                <w:rFonts w:ascii="仿宋" w:hAnsi="仿宋" w:cs="仿宋"/>
                <w:color w:val="000000"/>
                <w:sz w:val="24"/>
                <w:szCs w:val="24"/>
              </w:rPr>
            </w:pPr>
            <w:r>
              <w:rPr>
                <w:rFonts w:ascii="仿宋" w:hAnsi="仿宋" w:cs="仿宋" w:hint="eastAsia"/>
                <w:sz w:val="24"/>
                <w:szCs w:val="24"/>
              </w:rPr>
              <w:t>注：行业督办单位为两个以上部门的，第一个部门为牵头部门，第二、三部门为配合部门。</w:t>
            </w:r>
          </w:p>
        </w:tc>
      </w:tr>
    </w:tbl>
    <w:p w:rsidR="006D7024" w:rsidRDefault="006D7024" w:rsidP="006D7024">
      <w:pPr>
        <w:sectPr w:rsidR="006D7024">
          <w:pgSz w:w="16838" w:h="11906" w:orient="landscape"/>
          <w:pgMar w:top="1701" w:right="1587" w:bottom="1587" w:left="1587" w:header="851" w:footer="992" w:gutter="0"/>
          <w:pgNumType w:fmt="numberInDash"/>
          <w:cols w:space="0"/>
          <w:docGrid w:type="lines" w:linePitch="436"/>
        </w:sectPr>
      </w:pPr>
    </w:p>
    <w:p w:rsidR="00696409" w:rsidRPr="006D7024" w:rsidRDefault="00696409"/>
    <w:sectPr w:rsidR="00696409" w:rsidRPr="006D7024" w:rsidSect="006D70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20" w:rsidRDefault="00E25C20" w:rsidP="006D7024">
      <w:r>
        <w:separator/>
      </w:r>
    </w:p>
  </w:endnote>
  <w:endnote w:type="continuationSeparator" w:id="0">
    <w:p w:rsidR="00E25C20" w:rsidRDefault="00E25C20" w:rsidP="006D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20" w:rsidRDefault="00E25C20" w:rsidP="006D7024">
      <w:r>
        <w:separator/>
      </w:r>
    </w:p>
  </w:footnote>
  <w:footnote w:type="continuationSeparator" w:id="0">
    <w:p w:rsidR="00E25C20" w:rsidRDefault="00E25C20" w:rsidP="006D7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59"/>
    <w:rsid w:val="0001704E"/>
    <w:rsid w:val="000229BD"/>
    <w:rsid w:val="00035244"/>
    <w:rsid w:val="00035CE3"/>
    <w:rsid w:val="00044E3F"/>
    <w:rsid w:val="00063D51"/>
    <w:rsid w:val="00066C06"/>
    <w:rsid w:val="0008616D"/>
    <w:rsid w:val="00086DB8"/>
    <w:rsid w:val="000B0AA0"/>
    <w:rsid w:val="000B561A"/>
    <w:rsid w:val="000D202B"/>
    <w:rsid w:val="000E6950"/>
    <w:rsid w:val="00137752"/>
    <w:rsid w:val="001444C4"/>
    <w:rsid w:val="00153E45"/>
    <w:rsid w:val="001B7B7E"/>
    <w:rsid w:val="002204BA"/>
    <w:rsid w:val="00221AC5"/>
    <w:rsid w:val="00254E54"/>
    <w:rsid w:val="00267127"/>
    <w:rsid w:val="00277A1B"/>
    <w:rsid w:val="002864F5"/>
    <w:rsid w:val="002A414D"/>
    <w:rsid w:val="002B0F23"/>
    <w:rsid w:val="002F30ED"/>
    <w:rsid w:val="00333440"/>
    <w:rsid w:val="00394BB7"/>
    <w:rsid w:val="003B5962"/>
    <w:rsid w:val="003E722E"/>
    <w:rsid w:val="003F6D5E"/>
    <w:rsid w:val="00420A2A"/>
    <w:rsid w:val="004C2593"/>
    <w:rsid w:val="004E3BDB"/>
    <w:rsid w:val="004E3DDE"/>
    <w:rsid w:val="004E6F4F"/>
    <w:rsid w:val="0050014F"/>
    <w:rsid w:val="00556BD1"/>
    <w:rsid w:val="0057459C"/>
    <w:rsid w:val="0059171E"/>
    <w:rsid w:val="005D1D47"/>
    <w:rsid w:val="005E16BF"/>
    <w:rsid w:val="006122B1"/>
    <w:rsid w:val="006462A4"/>
    <w:rsid w:val="00661E52"/>
    <w:rsid w:val="00696409"/>
    <w:rsid w:val="006A455A"/>
    <w:rsid w:val="006B4598"/>
    <w:rsid w:val="006D7024"/>
    <w:rsid w:val="006E5A51"/>
    <w:rsid w:val="00737C54"/>
    <w:rsid w:val="00754C9B"/>
    <w:rsid w:val="00773551"/>
    <w:rsid w:val="007855FA"/>
    <w:rsid w:val="007C1F8D"/>
    <w:rsid w:val="007D6646"/>
    <w:rsid w:val="008220D8"/>
    <w:rsid w:val="00830463"/>
    <w:rsid w:val="008C67AB"/>
    <w:rsid w:val="008F4659"/>
    <w:rsid w:val="00900FF1"/>
    <w:rsid w:val="0091418A"/>
    <w:rsid w:val="009226BA"/>
    <w:rsid w:val="009266A9"/>
    <w:rsid w:val="00930493"/>
    <w:rsid w:val="00936225"/>
    <w:rsid w:val="00936FFC"/>
    <w:rsid w:val="00942D56"/>
    <w:rsid w:val="009878AE"/>
    <w:rsid w:val="00990DCA"/>
    <w:rsid w:val="009D6575"/>
    <w:rsid w:val="009E4EDB"/>
    <w:rsid w:val="009E7184"/>
    <w:rsid w:val="00A05C14"/>
    <w:rsid w:val="00A10DEC"/>
    <w:rsid w:val="00A33B7D"/>
    <w:rsid w:val="00A34415"/>
    <w:rsid w:val="00AB032B"/>
    <w:rsid w:val="00AC1932"/>
    <w:rsid w:val="00AE7B7A"/>
    <w:rsid w:val="00AF78D1"/>
    <w:rsid w:val="00B251F5"/>
    <w:rsid w:val="00B46D4F"/>
    <w:rsid w:val="00B7489C"/>
    <w:rsid w:val="00B956AF"/>
    <w:rsid w:val="00C430DC"/>
    <w:rsid w:val="00C61EC7"/>
    <w:rsid w:val="00C842CA"/>
    <w:rsid w:val="00CA1020"/>
    <w:rsid w:val="00CD3AD9"/>
    <w:rsid w:val="00CD67DC"/>
    <w:rsid w:val="00CF716D"/>
    <w:rsid w:val="00D42D7E"/>
    <w:rsid w:val="00D5692E"/>
    <w:rsid w:val="00DC2697"/>
    <w:rsid w:val="00DE3E6F"/>
    <w:rsid w:val="00DF6098"/>
    <w:rsid w:val="00E25C20"/>
    <w:rsid w:val="00ED2F78"/>
    <w:rsid w:val="00F412D1"/>
    <w:rsid w:val="00F42CBF"/>
    <w:rsid w:val="00F520CC"/>
    <w:rsid w:val="00F565FE"/>
    <w:rsid w:val="00F57E0C"/>
    <w:rsid w:val="00F70EC8"/>
    <w:rsid w:val="00F8093A"/>
    <w:rsid w:val="00F85DAC"/>
    <w:rsid w:val="00F92B7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97712-43B2-4E40-9E4D-01074A85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D7024"/>
    <w:pPr>
      <w:widowControl w:val="0"/>
      <w:jc w:val="both"/>
    </w:pPr>
    <w:rPr>
      <w:rFonts w:ascii="Times New Roman" w:eastAsia="仿宋"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D70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D7024"/>
    <w:rPr>
      <w:sz w:val="18"/>
      <w:szCs w:val="18"/>
    </w:rPr>
  </w:style>
  <w:style w:type="paragraph" w:styleId="a5">
    <w:name w:val="footer"/>
    <w:basedOn w:val="a"/>
    <w:link w:val="Char0"/>
    <w:uiPriority w:val="99"/>
    <w:unhideWhenUsed/>
    <w:rsid w:val="006D70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D7024"/>
    <w:rPr>
      <w:sz w:val="18"/>
      <w:szCs w:val="18"/>
    </w:rPr>
  </w:style>
  <w:style w:type="paragraph" w:styleId="a0">
    <w:name w:val="Body Text"/>
    <w:basedOn w:val="a"/>
    <w:link w:val="Char1"/>
    <w:uiPriority w:val="99"/>
    <w:unhideWhenUsed/>
    <w:qFormat/>
    <w:rsid w:val="006D7024"/>
    <w:pPr>
      <w:spacing w:after="120" w:line="360" w:lineRule="auto"/>
    </w:pPr>
    <w:rPr>
      <w:rFonts w:eastAsia="黑体" w:cs="黑体"/>
    </w:rPr>
  </w:style>
  <w:style w:type="character" w:customStyle="1" w:styleId="Char1">
    <w:name w:val="正文文本 Char"/>
    <w:basedOn w:val="a1"/>
    <w:link w:val="a0"/>
    <w:uiPriority w:val="99"/>
    <w:rsid w:val="006D7024"/>
    <w:rPr>
      <w:rFonts w:ascii="Times New Roman" w:eastAsia="黑体" w:hAnsi="Times New Roman"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505</Words>
  <Characters>2884</Characters>
  <Application>Microsoft Office Word</Application>
  <DocSecurity>0</DocSecurity>
  <Lines>24</Lines>
  <Paragraphs>6</Paragraphs>
  <ScaleCrop>false</ScaleCrop>
  <Company>MS</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2021-04-07T07:36:00Z</dcterms:created>
  <dcterms:modified xsi:type="dcterms:W3CDTF">2021-04-07T08:10:00Z</dcterms:modified>
</cp:coreProperties>
</file>